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/>
        <w:jc w:val="center"/>
        <w:rPr>
          <w:b/>
          <w:bCs/>
          <w:sz w:val="36"/>
          <w:szCs w:val="32"/>
        </w:rPr>
      </w:pPr>
    </w:p>
    <w:p>
      <w:pPr>
        <w:ind w:firstLine="723"/>
        <w:jc w:val="center"/>
        <w:rPr>
          <w:b/>
          <w:bCs/>
          <w:sz w:val="36"/>
          <w:szCs w:val="32"/>
        </w:rPr>
      </w:pPr>
    </w:p>
    <w:p>
      <w:pPr>
        <w:ind w:firstLine="723"/>
        <w:jc w:val="center"/>
        <w:rPr>
          <w:b/>
          <w:bCs/>
          <w:sz w:val="36"/>
          <w:szCs w:val="32"/>
        </w:rPr>
      </w:pPr>
    </w:p>
    <w:p>
      <w:pPr>
        <w:ind w:firstLine="723"/>
        <w:jc w:val="center"/>
        <w:rPr>
          <w:b/>
          <w:bCs/>
          <w:sz w:val="36"/>
          <w:szCs w:val="32"/>
        </w:rPr>
      </w:pPr>
    </w:p>
    <w:p>
      <w:pPr>
        <w:ind w:firstLine="964"/>
        <w:jc w:val="center"/>
        <w:rPr>
          <w:b/>
          <w:bCs/>
          <w:sz w:val="48"/>
          <w:szCs w:val="32"/>
        </w:rPr>
      </w:pPr>
      <w:r>
        <w:rPr>
          <w:rFonts w:hint="eastAsia"/>
          <w:b/>
          <w:bCs/>
          <w:sz w:val="48"/>
          <w:szCs w:val="32"/>
        </w:rPr>
        <w:t>全国公共资源交易平台（四川省）</w:t>
      </w:r>
    </w:p>
    <w:p>
      <w:pPr>
        <w:ind w:firstLine="964"/>
        <w:jc w:val="center"/>
        <w:rPr>
          <w:b/>
          <w:bCs/>
          <w:sz w:val="48"/>
          <w:szCs w:val="32"/>
        </w:rPr>
      </w:pPr>
      <w:r>
        <w:rPr>
          <w:b/>
          <w:bCs/>
          <w:sz w:val="48"/>
          <w:szCs w:val="32"/>
        </w:rPr>
        <w:t>交易主体统一认证注册及登录</w:t>
      </w:r>
    </w:p>
    <w:p>
      <w:pPr>
        <w:ind w:firstLine="964"/>
        <w:jc w:val="center"/>
        <w:rPr>
          <w:b/>
          <w:bCs/>
          <w:sz w:val="48"/>
          <w:szCs w:val="32"/>
        </w:rPr>
      </w:pPr>
    </w:p>
    <w:p>
      <w:pPr>
        <w:ind w:firstLine="964"/>
        <w:jc w:val="center"/>
        <w:rPr>
          <w:b/>
          <w:bCs/>
          <w:sz w:val="48"/>
          <w:szCs w:val="32"/>
        </w:rPr>
      </w:pPr>
      <w:r>
        <w:rPr>
          <w:b/>
          <w:bCs/>
          <w:sz w:val="48"/>
          <w:szCs w:val="32"/>
        </w:rPr>
        <w:t>操</w:t>
      </w:r>
    </w:p>
    <w:p>
      <w:pPr>
        <w:ind w:firstLine="964"/>
        <w:jc w:val="center"/>
        <w:rPr>
          <w:b/>
          <w:bCs/>
          <w:sz w:val="48"/>
          <w:szCs w:val="32"/>
        </w:rPr>
      </w:pPr>
    </w:p>
    <w:p>
      <w:pPr>
        <w:ind w:firstLine="964"/>
        <w:jc w:val="center"/>
        <w:rPr>
          <w:b/>
          <w:bCs/>
          <w:sz w:val="48"/>
          <w:szCs w:val="32"/>
        </w:rPr>
      </w:pPr>
      <w:r>
        <w:rPr>
          <w:b/>
          <w:bCs/>
          <w:sz w:val="48"/>
          <w:szCs w:val="32"/>
        </w:rPr>
        <w:t>作</w:t>
      </w:r>
    </w:p>
    <w:p>
      <w:pPr>
        <w:ind w:firstLine="964"/>
        <w:jc w:val="center"/>
        <w:rPr>
          <w:b/>
          <w:bCs/>
          <w:sz w:val="48"/>
          <w:szCs w:val="32"/>
        </w:rPr>
      </w:pPr>
    </w:p>
    <w:p>
      <w:pPr>
        <w:ind w:firstLine="964"/>
        <w:jc w:val="center"/>
        <w:rPr>
          <w:b/>
          <w:bCs/>
          <w:sz w:val="48"/>
          <w:szCs w:val="32"/>
        </w:rPr>
      </w:pPr>
      <w:r>
        <w:rPr>
          <w:b/>
          <w:bCs/>
          <w:sz w:val="48"/>
          <w:szCs w:val="32"/>
        </w:rPr>
        <w:t>指</w:t>
      </w:r>
    </w:p>
    <w:p>
      <w:pPr>
        <w:ind w:firstLine="964"/>
        <w:jc w:val="center"/>
        <w:rPr>
          <w:b/>
          <w:bCs/>
          <w:sz w:val="48"/>
          <w:szCs w:val="32"/>
        </w:rPr>
      </w:pPr>
    </w:p>
    <w:p>
      <w:pPr>
        <w:ind w:firstLine="964"/>
        <w:jc w:val="center"/>
        <w:rPr>
          <w:b/>
          <w:bCs/>
          <w:sz w:val="48"/>
          <w:szCs w:val="32"/>
        </w:rPr>
      </w:pPr>
      <w:r>
        <w:rPr>
          <w:b/>
          <w:bCs/>
          <w:sz w:val="48"/>
          <w:szCs w:val="32"/>
        </w:rPr>
        <w:t>南</w:t>
      </w:r>
    </w:p>
    <w:p>
      <w:pPr>
        <w:ind w:firstLine="723"/>
        <w:rPr>
          <w:b/>
          <w:bCs/>
          <w:sz w:val="36"/>
          <w:szCs w:val="32"/>
        </w:rPr>
      </w:pPr>
    </w:p>
    <w:p>
      <w:pPr>
        <w:ind w:firstLine="723"/>
        <w:rPr>
          <w:b/>
          <w:bCs/>
          <w:sz w:val="36"/>
          <w:szCs w:val="32"/>
        </w:rPr>
      </w:pPr>
    </w:p>
    <w:p>
      <w:pPr>
        <w:ind w:firstLine="723"/>
        <w:rPr>
          <w:b/>
          <w:bCs/>
          <w:sz w:val="36"/>
          <w:szCs w:val="32"/>
        </w:rPr>
      </w:pPr>
    </w:p>
    <w:p>
      <w:pPr>
        <w:ind w:firstLine="723"/>
        <w:rPr>
          <w:b/>
          <w:bCs/>
          <w:sz w:val="36"/>
          <w:szCs w:val="32"/>
        </w:rPr>
      </w:pPr>
    </w:p>
    <w:p>
      <w:pPr>
        <w:ind w:firstLine="723"/>
        <w:rPr>
          <w:b/>
          <w:bCs/>
          <w:sz w:val="36"/>
          <w:szCs w:val="32"/>
        </w:rPr>
      </w:pPr>
    </w:p>
    <w:p>
      <w:pPr>
        <w:spacing w:after="120" w:line="240" w:lineRule="auto"/>
        <w:ind w:firstLine="0" w:firstLineChars="0"/>
        <w:jc w:val="center"/>
        <w:rPr>
          <w:rFonts w:ascii="宋体" w:hAnsi="宋体" w:cs="宋体"/>
          <w:bCs/>
          <w:sz w:val="36"/>
          <w:szCs w:val="36"/>
        </w:rPr>
      </w:pPr>
      <w:r>
        <w:rPr>
          <w:rFonts w:ascii="宋体" w:hAnsi="宋体" w:cs="宋体"/>
          <w:bCs/>
          <w:sz w:val="36"/>
          <w:szCs w:val="36"/>
        </w:rPr>
        <w:t>四川省政府政务服务和公共资源交易服务中心</w:t>
      </w:r>
      <w:r>
        <w:rPr>
          <w:rFonts w:hint="eastAsia" w:ascii="宋体" w:hAnsi="宋体" w:cs="宋体"/>
          <w:bCs/>
          <w:sz w:val="36"/>
          <w:szCs w:val="36"/>
        </w:rPr>
        <w:t xml:space="preserve"> 制</w:t>
      </w:r>
    </w:p>
    <w:p>
      <w:pPr>
        <w:ind w:firstLine="723"/>
        <w:rPr>
          <w:b/>
          <w:bCs/>
          <w:sz w:val="36"/>
          <w:szCs w:val="32"/>
        </w:rPr>
      </w:pPr>
    </w:p>
    <w:p>
      <w:pPr>
        <w:ind w:firstLine="723"/>
        <w:jc w:val="center"/>
        <w:rPr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2</w:t>
      </w:r>
      <w:r>
        <w:rPr>
          <w:b/>
          <w:bCs/>
          <w:sz w:val="36"/>
          <w:szCs w:val="32"/>
        </w:rPr>
        <w:t>02</w:t>
      </w:r>
      <w:r>
        <w:rPr>
          <w:rFonts w:hint="eastAsia"/>
          <w:b/>
          <w:bCs/>
          <w:sz w:val="36"/>
          <w:szCs w:val="32"/>
          <w:lang w:val="en-US" w:eastAsia="zh-CN"/>
        </w:rPr>
        <w:t>33</w:t>
      </w:r>
      <w:r>
        <w:rPr>
          <w:b/>
          <w:bCs/>
          <w:sz w:val="36"/>
          <w:szCs w:val="32"/>
        </w:rPr>
        <w:t>年</w:t>
      </w:r>
      <w:r>
        <w:rPr>
          <w:rFonts w:hint="eastAsia"/>
          <w:b/>
          <w:bCs/>
          <w:sz w:val="36"/>
          <w:szCs w:val="32"/>
          <w:lang w:val="en-US" w:eastAsia="zh-CN"/>
        </w:rPr>
        <w:t>5</w:t>
      </w:r>
      <w:r>
        <w:rPr>
          <w:b/>
          <w:bCs/>
          <w:sz w:val="36"/>
          <w:szCs w:val="32"/>
        </w:rPr>
        <w:t>月</w:t>
      </w:r>
    </w:p>
    <w:p>
      <w:pPr>
        <w:spacing w:line="240" w:lineRule="auto"/>
        <w:ind w:firstLineChars="0"/>
        <w:jc w:val="center"/>
        <w:rPr>
          <w:rFonts w:asciiTheme="minorEastAsia" w:hAnsiTheme="minorEastAsia" w:eastAsiaTheme="minorEastAsia"/>
          <w:b/>
          <w:szCs w:val="22"/>
        </w:rPr>
      </w:pPr>
      <w:r>
        <w:rPr>
          <w:rFonts w:hint="eastAsia" w:asciiTheme="minorEastAsia" w:hAnsiTheme="minorEastAsia" w:eastAsiaTheme="minorEastAsia"/>
          <w:b/>
          <w:szCs w:val="22"/>
        </w:rPr>
        <w:t>交易主体统一认证的基本情况</w:t>
      </w:r>
    </w:p>
    <w:p>
      <w:pPr>
        <w:spacing w:line="240" w:lineRule="auto"/>
        <w:ind w:firstLine="420" w:firstLineChars="0"/>
        <w:jc w:val="left"/>
        <w:rPr>
          <w:rFonts w:asciiTheme="minorEastAsia" w:hAnsiTheme="minorEastAsia" w:eastAsiaTheme="minorEastAsia"/>
          <w:szCs w:val="22"/>
        </w:rPr>
      </w:pPr>
      <w:r>
        <w:rPr>
          <w:rFonts w:hint="eastAsia" w:asciiTheme="minorEastAsia" w:hAnsiTheme="minorEastAsia" w:eastAsiaTheme="minorEastAsia"/>
          <w:szCs w:val="22"/>
        </w:rPr>
        <w:t>20</w:t>
      </w:r>
      <w:r>
        <w:rPr>
          <w:rFonts w:asciiTheme="minorEastAsia" w:hAnsiTheme="minorEastAsia" w:eastAsiaTheme="minorEastAsia"/>
          <w:szCs w:val="22"/>
        </w:rPr>
        <w:t>21年</w:t>
      </w:r>
      <w:r>
        <w:rPr>
          <w:rFonts w:hint="eastAsia" w:asciiTheme="minorEastAsia" w:hAnsiTheme="minorEastAsia" w:eastAsiaTheme="minorEastAsia"/>
          <w:szCs w:val="22"/>
        </w:rPr>
        <w:t>6月1日四川省交易主体统一认证系统上线试运行，实现了“一地注册、全省通用”目标；</w:t>
      </w:r>
    </w:p>
    <w:p>
      <w:pPr>
        <w:spacing w:line="240" w:lineRule="auto"/>
        <w:ind w:firstLine="420" w:firstLineChars="0"/>
        <w:jc w:val="left"/>
        <w:rPr>
          <w:rFonts w:asciiTheme="minorEastAsia" w:hAnsiTheme="minorEastAsia" w:eastAsiaTheme="minorEastAsia"/>
          <w:szCs w:val="22"/>
        </w:rPr>
      </w:pPr>
      <w:r>
        <w:rPr>
          <w:rFonts w:hint="eastAsia" w:asciiTheme="minorEastAsia" w:hAnsiTheme="minorEastAsia" w:eastAsiaTheme="minorEastAsia"/>
          <w:szCs w:val="22"/>
        </w:rPr>
        <w:t>上线之日开始各市州用户必须在统一在省平台统一认证系统注册，完善信息之后提交省平台审核，审核通过才可以选择市州入口跳转市州平台进行业务操作；</w:t>
      </w:r>
    </w:p>
    <w:p>
      <w:pPr>
        <w:spacing w:line="240" w:lineRule="auto"/>
        <w:ind w:firstLine="420" w:firstLineChars="0"/>
        <w:jc w:val="left"/>
        <w:rPr>
          <w:rFonts w:asciiTheme="minorEastAsia" w:hAnsiTheme="minorEastAsia" w:eastAsiaTheme="minorEastAsia"/>
          <w:szCs w:val="22"/>
        </w:rPr>
      </w:pPr>
      <w:r>
        <w:rPr>
          <w:rFonts w:asciiTheme="minorEastAsia" w:hAnsiTheme="minorEastAsia" w:eastAsiaTheme="minorEastAsia"/>
          <w:szCs w:val="22"/>
        </w:rPr>
        <w:t>若还未注册全省统一认证系统的用户</w:t>
      </w:r>
      <w:r>
        <w:rPr>
          <w:rFonts w:hint="eastAsia" w:asciiTheme="minorEastAsia" w:hAnsiTheme="minorEastAsia" w:eastAsiaTheme="minorEastAsia"/>
          <w:szCs w:val="22"/>
        </w:rPr>
        <w:t>，</w:t>
      </w:r>
      <w:r>
        <w:rPr>
          <w:rFonts w:asciiTheme="minorEastAsia" w:hAnsiTheme="minorEastAsia" w:eastAsiaTheme="minorEastAsia"/>
          <w:szCs w:val="22"/>
        </w:rPr>
        <w:t>需通过全省统一认证系统</w:t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注册</w:t>
      </w:r>
      <w:r>
        <w:rPr>
          <w:rFonts w:asciiTheme="minorEastAsia" w:hAnsiTheme="minorEastAsia" w:eastAsiaTheme="minorEastAsia"/>
          <w:szCs w:val="22"/>
        </w:rPr>
        <w:t>登录</w:t>
      </w:r>
      <w:r>
        <w:rPr>
          <w:rFonts w:hint="eastAsia" w:asciiTheme="minorEastAsia" w:hAnsiTheme="minorEastAsia" w:eastAsiaTheme="minorEastAsia"/>
          <w:szCs w:val="22"/>
        </w:rPr>
        <w:t>；</w:t>
      </w:r>
    </w:p>
    <w:p>
      <w:pPr>
        <w:spacing w:line="240" w:lineRule="auto"/>
        <w:ind w:firstLine="420" w:firstLineChars="0"/>
        <w:jc w:val="left"/>
        <w:rPr>
          <w:rFonts w:asciiTheme="minorEastAsia" w:hAnsiTheme="minorEastAsia" w:eastAsiaTheme="minorEastAsia"/>
          <w:szCs w:val="22"/>
        </w:rPr>
      </w:pPr>
      <w:r>
        <w:rPr>
          <w:rFonts w:hint="eastAsia" w:asciiTheme="minorEastAsia" w:hAnsiTheme="minorEastAsia" w:eastAsiaTheme="minorEastAsia"/>
          <w:szCs w:val="22"/>
        </w:rPr>
        <w:t>过渡期结束之后，市州登录入口关闭，统一在省统一认证入口登录。</w:t>
      </w:r>
    </w:p>
    <w:p>
      <w:pPr>
        <w:spacing w:line="240" w:lineRule="auto"/>
        <w:ind w:firstLine="420" w:firstLineChars="0"/>
        <w:jc w:val="left"/>
        <w:rPr>
          <w:rFonts w:asciiTheme="minorEastAsia" w:hAnsiTheme="minorEastAsia" w:eastAsiaTheme="minorEastAsia"/>
          <w:szCs w:val="22"/>
        </w:rPr>
      </w:pPr>
      <w:r>
        <w:rPr>
          <w:rFonts w:hint="eastAsia" w:asciiTheme="minorEastAsia" w:hAnsiTheme="minorEastAsia" w:eastAsiaTheme="minorEastAsia"/>
          <w:szCs w:val="22"/>
        </w:rPr>
        <w:t>详情见通知公告《关于四川省公共资源交易主体统一认证系统上线试运行的通知》（</w:t>
      </w:r>
      <w:r>
        <w:rPr>
          <w:rFonts w:asciiTheme="minorEastAsia" w:hAnsiTheme="minorEastAsia" w:eastAsiaTheme="minorEastAsia"/>
          <w:szCs w:val="22"/>
        </w:rPr>
        <w:t>http://ggzyjy.sc.gov.cn/xwzx/001003/20210602/1975187e-544c-4c77-8171-c44a301b5c3a.html</w:t>
      </w:r>
      <w:r>
        <w:rPr>
          <w:rFonts w:hint="eastAsia" w:asciiTheme="minorEastAsia" w:hAnsiTheme="minorEastAsia" w:eastAsiaTheme="minorEastAsia"/>
          <w:szCs w:val="22"/>
        </w:rPr>
        <w:t>）</w:t>
      </w:r>
    </w:p>
    <w:p>
      <w:pPr>
        <w:pStyle w:val="20"/>
        <w:keepNext/>
        <w:keepLines/>
        <w:numPr>
          <w:ilvl w:val="0"/>
          <w:numId w:val="2"/>
        </w:numPr>
        <w:spacing w:before="20" w:line="324" w:lineRule="auto"/>
        <w:ind w:firstLineChars="0"/>
        <w:outlineLvl w:val="0"/>
        <w:rPr>
          <w:rFonts w:ascii="宋体" w:hAnsi="宋体" w:cs="宋体"/>
          <w:b/>
          <w:bCs/>
          <w:kern w:val="44"/>
          <w:szCs w:val="28"/>
        </w:rPr>
      </w:pPr>
      <w:r>
        <w:rPr>
          <w:rFonts w:hint="eastAsia" w:ascii="宋体" w:hAnsi="宋体" w:cs="宋体"/>
          <w:b/>
          <w:bCs/>
          <w:kern w:val="44"/>
          <w:szCs w:val="28"/>
        </w:rPr>
        <w:t>系统前期准备</w:t>
      </w:r>
    </w:p>
    <w:p>
      <w:pPr>
        <w:pStyle w:val="20"/>
        <w:keepNext/>
        <w:keepLines/>
        <w:numPr>
          <w:ilvl w:val="1"/>
          <w:numId w:val="3"/>
        </w:numPr>
        <w:spacing w:before="120" w:after="120" w:line="36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bookmarkStart w:id="0" w:name="_Toc7170"/>
      <w:bookmarkStart w:id="1" w:name="_Toc346701735"/>
      <w:bookmarkStart w:id="2" w:name="_Toc2274"/>
      <w:bookmarkStart w:id="3" w:name="_Toc346183639"/>
      <w:r>
        <w:rPr>
          <w:rFonts w:hint="eastAsia" w:ascii="宋体" w:hAnsi="宋体" w:cs="宋体"/>
          <w:b/>
          <w:bCs/>
          <w:szCs w:val="28"/>
        </w:rPr>
        <w:t>浏览器配置</w:t>
      </w:r>
      <w:bookmarkEnd w:id="0"/>
      <w:bookmarkEnd w:id="1"/>
      <w:bookmarkEnd w:id="2"/>
      <w:bookmarkEnd w:id="3"/>
    </w:p>
    <w:p>
      <w:pPr>
        <w:keepNext/>
        <w:keepLines/>
        <w:spacing w:before="120" w:after="120" w:line="360" w:lineRule="auto"/>
        <w:ind w:left="142" w:firstLine="0" w:firstLineChars="0"/>
        <w:outlineLvl w:val="2"/>
        <w:rPr>
          <w:rFonts w:ascii="宋体" w:hAnsi="宋体" w:cs="宋体"/>
          <w:b/>
          <w:bCs/>
          <w:szCs w:val="28"/>
        </w:rPr>
      </w:pPr>
      <w:bookmarkStart w:id="4" w:name="_Toc31713"/>
      <w:bookmarkStart w:id="5" w:name="_Toc31565"/>
      <w:bookmarkStart w:id="6" w:name="_Toc346183640"/>
      <w:bookmarkStart w:id="7" w:name="_Toc346701736"/>
      <w:r>
        <w:rPr>
          <w:rFonts w:ascii="宋体" w:hAnsi="宋体" w:cs="宋体"/>
          <w:b/>
          <w:bCs/>
          <w:szCs w:val="28"/>
        </w:rPr>
        <w:t xml:space="preserve">1.1.1 </w:t>
      </w:r>
      <w:r>
        <w:rPr>
          <w:rFonts w:hint="eastAsia" w:ascii="宋体" w:hAnsi="宋体" w:cs="宋体"/>
          <w:b/>
          <w:bCs/>
          <w:szCs w:val="28"/>
        </w:rPr>
        <w:t>Internet选项</w:t>
      </w:r>
      <w:bookmarkEnd w:id="4"/>
      <w:bookmarkEnd w:id="5"/>
      <w:bookmarkEnd w:id="6"/>
      <w:bookmarkEnd w:id="7"/>
      <w:r>
        <w:rPr>
          <w:rFonts w:hint="eastAsia" w:ascii="宋体" w:hAnsi="宋体" w:cs="宋体"/>
          <w:b/>
          <w:bCs/>
          <w:szCs w:val="28"/>
        </w:rPr>
        <w:t>（推荐使用I</w:t>
      </w:r>
      <w:r>
        <w:rPr>
          <w:rFonts w:ascii="宋体" w:hAnsi="宋体" w:cs="宋体"/>
          <w:b/>
          <w:bCs/>
          <w:szCs w:val="28"/>
        </w:rPr>
        <w:t>E浏览器</w:t>
      </w:r>
      <w:r>
        <w:rPr>
          <w:rFonts w:hint="eastAsia" w:ascii="宋体" w:hAnsi="宋体" w:cs="宋体"/>
          <w:b/>
          <w:bCs/>
          <w:szCs w:val="28"/>
        </w:rPr>
        <w:t>）</w:t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为了让系统插件能够正常工作，请按照以下步骤进行浏览器的配置。</w:t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1、打开浏览器，在“工具”菜单→“Internet选项”，如下图：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pacing w:val="4"/>
          <w:szCs w:val="28"/>
        </w:rPr>
      </w:pPr>
      <w:r>
        <w:rPr>
          <w:rFonts w:hint="eastAsia" w:ascii="宋体" w:hAnsi="宋体" w:cs="宋体"/>
          <w:spacing w:val="4"/>
          <w:szCs w:val="28"/>
        </w:rPr>
        <w:drawing>
          <wp:inline distT="0" distB="0" distL="114300" distR="114300">
            <wp:extent cx="3561715" cy="3152775"/>
            <wp:effectExtent l="0" t="0" r="4445" b="19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2、弹出对话框之后，请选择“安全”选项卡，具体的界面如下图：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pacing w:val="4"/>
          <w:szCs w:val="28"/>
        </w:rPr>
      </w:pPr>
      <w:r>
        <w:rPr>
          <w:rFonts w:hint="eastAsia" w:ascii="宋体" w:hAnsi="宋体" w:cs="宋体"/>
          <w:spacing w:val="4"/>
          <w:szCs w:val="28"/>
        </w:rPr>
        <w:drawing>
          <wp:inline distT="0" distB="0" distL="114300" distR="114300">
            <wp:extent cx="2914650" cy="3476625"/>
            <wp:effectExtent l="0" t="0" r="11430" b="1333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3、点击绿色的“受信任的站点”的图片，会看到如下图所示的界面：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pacing w:val="4"/>
          <w:szCs w:val="28"/>
        </w:rPr>
      </w:pPr>
      <w:r>
        <w:rPr>
          <w:rFonts w:hint="eastAsia" w:ascii="宋体" w:hAnsi="宋体" w:cs="宋体"/>
          <w:spacing w:val="4"/>
          <w:szCs w:val="28"/>
        </w:rPr>
        <w:drawing>
          <wp:inline distT="0" distB="0" distL="114300" distR="114300">
            <wp:extent cx="3638550" cy="3971925"/>
            <wp:effectExtent l="0" t="0" r="3810" b="571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4、点击“站点” 按钮，出现如下对话框：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pacing w:val="4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4297680" cy="5265420"/>
            <wp:effectExtent l="0" t="0" r="0" b="762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把会员端的地址添加进去，再按“关闭”按钮退出。</w:t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5、设置自定义安全级别，开放Activex的访问权限：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pacing w:val="4"/>
          <w:szCs w:val="28"/>
        </w:rPr>
      </w:pPr>
      <w:r>
        <w:rPr>
          <w:rFonts w:hint="eastAsia" w:ascii="宋体" w:hAnsi="宋体" w:cs="宋体"/>
          <w:spacing w:val="4"/>
          <w:szCs w:val="28"/>
        </w:rPr>
        <w:drawing>
          <wp:inline distT="0" distB="0" distL="114300" distR="114300">
            <wp:extent cx="3543300" cy="4200525"/>
            <wp:effectExtent l="0" t="0" r="7620" b="57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会出现一个窗口，把其中的Activex控件和插件的设置全部改为启用。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pacing w:val="4"/>
          <w:szCs w:val="28"/>
        </w:rPr>
      </w:pPr>
      <w:r>
        <w:rPr>
          <w:rFonts w:hint="eastAsia" w:ascii="宋体" w:hAnsi="宋体" w:cs="宋体"/>
          <w:spacing w:val="4"/>
          <w:szCs w:val="28"/>
        </w:rPr>
        <w:drawing>
          <wp:inline distT="0" distB="0" distL="114300" distR="114300">
            <wp:extent cx="4114800" cy="3829050"/>
            <wp:effectExtent l="0" t="0" r="0" b="1143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文件下载设置，开放文件下载的权限：设置为启用。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pacing w:val="4"/>
          <w:szCs w:val="28"/>
        </w:rPr>
        <w:drawing>
          <wp:inline distT="0" distB="0" distL="114300" distR="114300">
            <wp:extent cx="3524885" cy="3703955"/>
            <wp:effectExtent l="0" t="0" r="1079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宋体" w:hAnsi="宋体" w:cs="宋体"/>
          <w:szCs w:val="28"/>
        </w:rPr>
      </w:pPr>
    </w:p>
    <w:p>
      <w:pPr>
        <w:pStyle w:val="20"/>
        <w:keepNext/>
        <w:keepLines/>
        <w:numPr>
          <w:ilvl w:val="2"/>
          <w:numId w:val="4"/>
        </w:numPr>
        <w:spacing w:before="120" w:after="120" w:line="360" w:lineRule="auto"/>
        <w:ind w:firstLineChars="0"/>
        <w:outlineLvl w:val="2"/>
        <w:rPr>
          <w:rFonts w:ascii="宋体" w:hAnsi="宋体" w:cs="宋体"/>
          <w:b/>
          <w:bCs/>
          <w:szCs w:val="28"/>
        </w:rPr>
      </w:pPr>
      <w:bookmarkStart w:id="8" w:name="_Toc11260"/>
      <w:bookmarkStart w:id="9" w:name="_Toc23160"/>
      <w:bookmarkStart w:id="10" w:name="_Toc346183641"/>
      <w:bookmarkStart w:id="11" w:name="_Toc346701737"/>
      <w:r>
        <w:rPr>
          <w:rFonts w:hint="eastAsia" w:ascii="宋体" w:hAnsi="宋体" w:cs="宋体"/>
          <w:b/>
          <w:bCs/>
          <w:szCs w:val="28"/>
        </w:rPr>
        <w:t>关闭拦截工具</w:t>
      </w:r>
      <w:bookmarkEnd w:id="8"/>
      <w:bookmarkEnd w:id="9"/>
      <w:bookmarkEnd w:id="10"/>
      <w:bookmarkEnd w:id="11"/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上述操作完成后，如果系统中某些功能仍不能使用，请将拦截工具关闭再试用。比如在windows工具栏中关闭弹出窗口阻止程序的操作：</w:t>
      </w:r>
    </w:p>
    <w:p>
      <w:pPr>
        <w:spacing w:line="360" w:lineRule="auto"/>
        <w:ind w:firstLine="0" w:firstLineChars="0"/>
        <w:jc w:val="center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5095875" cy="2324100"/>
            <wp:effectExtent l="0" t="0" r="9525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/>
        <w:keepLines/>
        <w:numPr>
          <w:ilvl w:val="0"/>
          <w:numId w:val="5"/>
        </w:numPr>
        <w:tabs>
          <w:tab w:val="left" w:pos="425"/>
        </w:tabs>
        <w:spacing w:before="20" w:line="324" w:lineRule="auto"/>
        <w:ind w:firstLineChars="0"/>
        <w:outlineLvl w:val="0"/>
        <w:rPr>
          <w:rFonts w:ascii="宋体" w:hAnsi="宋体" w:cs="宋体"/>
          <w:b/>
          <w:bCs/>
          <w:kern w:val="44"/>
          <w:szCs w:val="28"/>
        </w:rPr>
      </w:pPr>
      <w:r>
        <w:rPr>
          <w:rFonts w:hint="eastAsia" w:ascii="宋体" w:hAnsi="宋体" w:cs="宋体"/>
          <w:b/>
          <w:bCs/>
          <w:kern w:val="44"/>
          <w:szCs w:val="28"/>
        </w:rPr>
        <w:t>账号注册及C</w:t>
      </w:r>
      <w:r>
        <w:rPr>
          <w:rFonts w:ascii="宋体" w:hAnsi="宋体" w:cs="宋体"/>
          <w:b/>
          <w:bCs/>
          <w:kern w:val="44"/>
          <w:szCs w:val="28"/>
        </w:rPr>
        <w:t>A证书</w:t>
      </w:r>
    </w:p>
    <w:p>
      <w:pPr>
        <w:keepNext/>
        <w:keepLines/>
        <w:numPr>
          <w:ilvl w:val="0"/>
          <w:numId w:val="6"/>
        </w:numPr>
        <w:tabs>
          <w:tab w:val="left" w:pos="425"/>
        </w:tabs>
        <w:spacing w:before="120" w:after="120" w:line="240" w:lineRule="auto"/>
        <w:ind w:firstLineChars="0"/>
        <w:outlineLvl w:val="0"/>
        <w:rPr>
          <w:rFonts w:ascii="宋体" w:hAnsi="宋体" w:cs="宋体"/>
          <w:b/>
          <w:bCs/>
          <w:vanish/>
          <w:kern w:val="44"/>
          <w:szCs w:val="28"/>
        </w:rPr>
      </w:pPr>
    </w:p>
    <w:p>
      <w:pPr>
        <w:keepNext/>
        <w:keepLines/>
        <w:tabs>
          <w:tab w:val="left" w:pos="567"/>
        </w:tabs>
        <w:spacing w:line="240" w:lineRule="auto"/>
        <w:ind w:firstLine="0" w:firstLineChars="0"/>
        <w:outlineLvl w:val="1"/>
        <w:rPr>
          <w:rFonts w:ascii="宋体" w:hAnsi="宋体" w:cs="宋体"/>
          <w:b/>
          <w:bCs/>
          <w:szCs w:val="28"/>
        </w:rPr>
      </w:pPr>
      <w:bookmarkStart w:id="12" w:name="_Toc10654"/>
      <w:r>
        <w:rPr>
          <w:rFonts w:hint="eastAsia" w:ascii="宋体" w:hAnsi="宋体" w:cs="宋体"/>
          <w:b/>
          <w:bCs/>
          <w:szCs w:val="28"/>
        </w:rPr>
        <w:t>2</w:t>
      </w:r>
      <w:r>
        <w:rPr>
          <w:rFonts w:ascii="宋体" w:hAnsi="宋体" w:cs="宋体"/>
          <w:b/>
          <w:bCs/>
          <w:szCs w:val="28"/>
        </w:rPr>
        <w:t xml:space="preserve">.1 </w:t>
      </w:r>
      <w:r>
        <w:rPr>
          <w:rFonts w:hint="eastAsia" w:ascii="宋体" w:hAnsi="宋体" w:cs="宋体"/>
          <w:b/>
          <w:bCs/>
          <w:szCs w:val="28"/>
        </w:rPr>
        <w:t>注册账号</w:t>
      </w:r>
      <w:bookmarkEnd w:id="12"/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系统地址：http://ggzyjy.sc.gov.cn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5269230" cy="2962910"/>
            <wp:effectExtent l="0" t="0" r="7620" b="889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交易主体在全国公共资源交易平台（四川省）网上进行注册，填写相关注册信息，注册成功之后用账号密码登录全国公共资源交易平台（四川省），维护单位信息，并提交验证，信息会在1-</w:t>
      </w:r>
      <w:r>
        <w:rPr>
          <w:rFonts w:ascii="宋体" w:hAnsi="宋体" w:cs="宋体"/>
          <w:szCs w:val="28"/>
        </w:rPr>
        <w:t>3个工作日</w:t>
      </w:r>
      <w:r>
        <w:rPr>
          <w:rFonts w:hint="eastAsia" w:ascii="宋体" w:hAnsi="宋体" w:cs="宋体"/>
          <w:szCs w:val="28"/>
        </w:rPr>
        <w:t>验证通过。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5768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在全国公共资源交易平台（四川省）界面，点击“免费注册”，如下图：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203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仔细阅读协议，点“同意”按钮继续，如下图：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3626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输入登录名、密码等基本信息，如果该登录名已被注册过，必须更换登录名。</w:t>
      </w:r>
      <w:r>
        <w:rPr>
          <w:rFonts w:hint="eastAsia" w:ascii="宋体" w:hAnsi="宋体" w:cs="宋体"/>
          <w:color w:val="FF0000"/>
          <w:szCs w:val="28"/>
        </w:rPr>
        <w:t>如果单位已经注册过，则不需要重复注册</w:t>
      </w:r>
      <w:r>
        <w:rPr>
          <w:rFonts w:hint="eastAsia" w:ascii="宋体" w:hAnsi="宋体" w:cs="宋体"/>
          <w:szCs w:val="28"/>
        </w:rPr>
        <w:t>。选择“主体类型”及“单位角色”（角色可以根据自己单位情况多项选择），输入验证码之后，点击“确认”按钮。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5273675" cy="3509010"/>
            <wp:effectExtent l="0" t="0" r="14605" b="1143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hint="default" w:ascii="宋体" w:hAnsi="宋体" w:cs="宋体"/>
          <w:szCs w:val="28"/>
          <w:lang w:val="en-US" w:eastAsia="zh-CN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5272405" cy="2853690"/>
            <wp:effectExtent l="0" t="0" r="635" b="1143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宋体" w:hAnsi="宋体" w:cs="宋体"/>
          <w:szCs w:val="28"/>
        </w:rPr>
      </w:pPr>
    </w:p>
    <w:p>
      <w:pPr>
        <w:keepNext/>
        <w:keepLines/>
        <w:tabs>
          <w:tab w:val="left" w:pos="567"/>
        </w:tabs>
        <w:spacing w:line="240" w:lineRule="auto"/>
        <w:ind w:firstLine="0" w:firstLineChars="0"/>
        <w:outlineLvl w:val="1"/>
        <w:rPr>
          <w:rFonts w:ascii="宋体" w:hAnsi="宋体" w:cs="宋体"/>
          <w:b/>
          <w:bCs/>
          <w:szCs w:val="28"/>
        </w:rPr>
      </w:pPr>
      <w:bookmarkStart w:id="13" w:name="_Toc6612"/>
      <w:r>
        <w:rPr>
          <w:rFonts w:ascii="宋体" w:hAnsi="宋体" w:cs="宋体"/>
          <w:b/>
          <w:bCs/>
          <w:szCs w:val="28"/>
        </w:rPr>
        <w:t xml:space="preserve">2.2 </w:t>
      </w:r>
      <w:r>
        <w:rPr>
          <w:rFonts w:hint="eastAsia" w:ascii="宋体" w:hAnsi="宋体" w:cs="宋体"/>
          <w:b/>
          <w:bCs/>
          <w:szCs w:val="28"/>
        </w:rPr>
        <w:t>CA驱动下载</w:t>
      </w:r>
      <w:bookmarkEnd w:id="13"/>
    </w:p>
    <w:p>
      <w:pPr>
        <w:spacing w:line="360" w:lineRule="auto"/>
        <w:ind w:firstLine="56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下载地址：</w:t>
      </w:r>
      <w:r>
        <w:rPr>
          <w:rFonts w:ascii="宋体" w:hAnsi="宋体" w:cs="宋体"/>
          <w:color w:val="0000FF"/>
          <w:sz w:val="24"/>
          <w:szCs w:val="28"/>
          <w:u w:val="single"/>
        </w:rPr>
        <w:t>http://ggzyjy.sc.gov.cn/bszn/010004/20190701/9ad48a99-23af-4649-91f6-6a00c11c7546.html</w:t>
      </w:r>
    </w:p>
    <w:p>
      <w:pPr>
        <w:pStyle w:val="20"/>
        <w:keepNext/>
        <w:keepLines/>
        <w:numPr>
          <w:ilvl w:val="1"/>
          <w:numId w:val="7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bookmarkStart w:id="14" w:name="_Toc18818"/>
      <w:r>
        <w:rPr>
          <w:rFonts w:hint="eastAsia" w:ascii="宋体" w:hAnsi="宋体" w:cs="宋体"/>
          <w:b/>
          <w:bCs/>
          <w:szCs w:val="28"/>
        </w:rPr>
        <w:t>CA办理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办理链接：</w:t>
      </w:r>
      <w:r>
        <w:fldChar w:fldCharType="begin"/>
      </w:r>
      <w:r>
        <w:instrText xml:space="preserve"> HYPERLINK "http://ggzyjy.sc.gov.cn/PSPBidder/huiyuaninfomis2/pages/huiyuanregister/CAInfoList" </w:instrText>
      </w:r>
      <w:r>
        <w:fldChar w:fldCharType="separate"/>
      </w:r>
      <w:r>
        <w:rPr>
          <w:rFonts w:hint="eastAsia" w:ascii="宋体" w:hAnsi="宋体" w:cs="宋体"/>
          <w:color w:val="0000FF"/>
          <w:sz w:val="24"/>
          <w:szCs w:val="28"/>
          <w:u w:val="single"/>
        </w:rPr>
        <w:t>http://ggzyjy.sc.gov.cn/PSPBidder/huiyuaninfomis2/pages/huiyuanregister/CAInfoList</w:t>
      </w:r>
      <w:r>
        <w:rPr>
          <w:rFonts w:hint="eastAsia" w:ascii="宋体" w:hAnsi="宋体" w:cs="宋体"/>
          <w:color w:val="0000FF"/>
          <w:sz w:val="24"/>
          <w:szCs w:val="28"/>
          <w:u w:val="single"/>
        </w:rPr>
        <w:fldChar w:fldCharType="end"/>
      </w:r>
    </w:p>
    <w:p>
      <w:pPr>
        <w:spacing w:after="120"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链接中公示的各类CA锁均纳入全省互联互通，请进入页面后自行选择办理。如果之前有办理过全省互联互通的CA锁，可以不用重复办理，按</w:t>
      </w:r>
      <w:r>
        <w:rPr>
          <w:rFonts w:ascii="宋体" w:hAnsi="宋体" w:cs="宋体"/>
          <w:szCs w:val="28"/>
        </w:rPr>
        <w:t>2</w:t>
      </w:r>
      <w:r>
        <w:rPr>
          <w:rFonts w:hint="eastAsia" w:ascii="宋体" w:hAnsi="宋体" w:cs="宋体"/>
          <w:szCs w:val="28"/>
        </w:rPr>
        <w:t>.5描述自助激活后即可使用。</w:t>
      </w:r>
    </w:p>
    <w:p>
      <w:pPr>
        <w:pStyle w:val="20"/>
        <w:keepNext/>
        <w:keepLines/>
        <w:numPr>
          <w:ilvl w:val="1"/>
          <w:numId w:val="7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r>
        <w:rPr>
          <w:rFonts w:hint="eastAsia" w:ascii="宋体" w:hAnsi="宋体" w:cs="宋体"/>
          <w:b/>
          <w:bCs/>
          <w:szCs w:val="28"/>
        </w:rPr>
        <w:t>CA检测</w:t>
      </w:r>
      <w:bookmarkEnd w:id="14"/>
    </w:p>
    <w:p>
      <w:pPr>
        <w:spacing w:line="36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下载安装驱动后，请将需要使用的CA锁插入电脑，运行检测工具进行检测。</w:t>
      </w:r>
    </w:p>
    <w:p>
      <w:pPr>
        <w:spacing w:line="360" w:lineRule="auto"/>
        <w:ind w:firstLine="0" w:firstLineChars="0"/>
        <w:rPr>
          <w:rFonts w:ascii="宋体" w:hAnsi="宋体" w:cs="宋体"/>
          <w:szCs w:val="28"/>
        </w:rPr>
      </w:pPr>
    </w:p>
    <w:p>
      <w:pPr>
        <w:spacing w:line="36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5271770" cy="3325495"/>
            <wp:effectExtent l="0" t="0" r="5080" b="825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4191000" cy="2857500"/>
            <wp:effectExtent l="0" t="0" r="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5271770" cy="3325495"/>
            <wp:effectExtent l="0" t="0" r="5080" b="825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/>
        <w:keepLines/>
        <w:numPr>
          <w:ilvl w:val="1"/>
          <w:numId w:val="7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r>
        <w:rPr>
          <w:rFonts w:hint="eastAsia" w:ascii="宋体" w:hAnsi="宋体" w:cs="宋体"/>
          <w:b/>
          <w:bCs/>
          <w:szCs w:val="28"/>
        </w:rPr>
        <w:t>CA自助激活</w:t>
      </w:r>
    </w:p>
    <w:p>
      <w:pPr>
        <w:spacing w:after="120" w:line="240" w:lineRule="auto"/>
        <w:ind w:firstLine="420" w:firstLineChars="0"/>
        <w:rPr>
          <w:rFonts w:hint="eastAsia" w:ascii="宋体" w:hAnsi="宋体" w:eastAsia="宋体" w:cs="宋体"/>
          <w:szCs w:val="28"/>
          <w:lang w:eastAsia="zh-CN"/>
        </w:rPr>
      </w:pPr>
      <w:r>
        <w:rPr>
          <w:rFonts w:hint="eastAsia" w:ascii="宋体" w:hAnsi="宋体" w:cs="宋体"/>
          <w:szCs w:val="28"/>
        </w:rPr>
        <w:t>注册完成账号，登录系统，选择【四川省电子招投标公共服务平台】入口，并完善信息，提交自动通过之后，如果已经办理的CA 证书，可以按下图说明进行激活操作，激活后可以直接通过CA证书登录系统。</w:t>
      </w:r>
      <w:r>
        <w:rPr>
          <w:rFonts w:hint="eastAsia" w:ascii="宋体" w:hAnsi="宋体" w:cs="宋体"/>
          <w:szCs w:val="28"/>
          <w:lang w:eastAsia="zh-CN"/>
        </w:rPr>
        <w:t>（</w:t>
      </w:r>
      <w:r>
        <w:rPr>
          <w:rFonts w:hint="eastAsia" w:ascii="宋体" w:hAnsi="宋体" w:cs="宋体"/>
          <w:szCs w:val="28"/>
          <w:lang w:val="en-US" w:eastAsia="zh-CN"/>
        </w:rPr>
        <w:t>绑定的CA锁信息要与注册的账号信息一致，不然绑定不了</w:t>
      </w:r>
      <w:r>
        <w:rPr>
          <w:rFonts w:hint="eastAsia" w:ascii="宋体" w:hAnsi="宋体" w:cs="宋体"/>
          <w:szCs w:val="28"/>
          <w:lang w:eastAsia="zh-CN"/>
        </w:rPr>
        <w:t>）</w:t>
      </w:r>
    </w:p>
    <w:p>
      <w:pPr>
        <w:spacing w:after="120" w:line="240" w:lineRule="auto"/>
        <w:ind w:firstLine="0" w:firstLineChars="0"/>
        <w:rPr>
          <w:rFonts w:ascii="Times New Roman" w:hAnsi="Times New Roman" w:cs="Times New Roman"/>
          <w:sz w:val="24"/>
        </w:rPr>
      </w:pPr>
    </w:p>
    <w:p>
      <w:pPr>
        <w:spacing w:after="120"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drawing>
          <wp:inline distT="0" distB="0" distL="114300" distR="114300">
            <wp:extent cx="5273675" cy="2152015"/>
            <wp:effectExtent l="0" t="0" r="3175" b="63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</w:pPr>
      <w:r>
        <w:rPr>
          <w:rFonts w:hint="eastAsia"/>
        </w:rPr>
        <w:t>企业基本信息填写</w:t>
      </w:r>
    </w:p>
    <w:p>
      <w:pPr>
        <w:pStyle w:val="20"/>
        <w:keepNext/>
        <w:keepLines/>
        <w:numPr>
          <w:ilvl w:val="1"/>
          <w:numId w:val="8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r>
        <w:rPr>
          <w:rFonts w:hint="eastAsia" w:ascii="宋体" w:hAnsi="宋体" w:cs="宋体"/>
          <w:b/>
          <w:bCs/>
          <w:szCs w:val="28"/>
        </w:rPr>
        <w:t>系统登录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 xml:space="preserve"> </w:t>
      </w:r>
      <w:r>
        <w:rPr>
          <w:rFonts w:ascii="宋体" w:hAnsi="宋体" w:cs="宋体"/>
          <w:szCs w:val="28"/>
        </w:rPr>
        <w:t xml:space="preserve">  打开全国公共资源交易平台</w:t>
      </w:r>
      <w:r>
        <w:rPr>
          <w:rFonts w:hint="eastAsia" w:ascii="宋体" w:hAnsi="宋体" w:cs="宋体"/>
          <w:szCs w:val="28"/>
        </w:rPr>
        <w:t>（四川省）网站（</w:t>
      </w:r>
      <w:r>
        <w:rPr>
          <w:rFonts w:ascii="宋体" w:hAnsi="宋体" w:cs="宋体"/>
          <w:szCs w:val="28"/>
        </w:rPr>
        <w:t>http://ggzyjy.sc.gov.cn/</w:t>
      </w:r>
      <w:r>
        <w:rPr>
          <w:rFonts w:hint="eastAsia" w:ascii="宋体" w:hAnsi="宋体" w:cs="宋体"/>
          <w:szCs w:val="28"/>
        </w:rPr>
        <w:t>），点击右上角登录按钮。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114300" distR="114300">
            <wp:extent cx="5264150" cy="2556510"/>
            <wp:effectExtent l="0" t="0" r="889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用注册好的账号密码</w:t>
      </w:r>
      <w:r>
        <w:rPr>
          <w:rFonts w:ascii="宋体" w:hAnsi="宋体" w:cs="宋体"/>
          <w:szCs w:val="28"/>
        </w:rPr>
        <w:t>进行登录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114300" distR="114300">
            <wp:extent cx="5266690" cy="2559685"/>
            <wp:effectExtent l="0" t="0" r="6350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/>
        <w:keepLines/>
        <w:numPr>
          <w:ilvl w:val="1"/>
          <w:numId w:val="8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r>
        <w:rPr>
          <w:rFonts w:hint="eastAsia" w:ascii="宋体" w:hAnsi="宋体" w:cs="宋体"/>
          <w:b/>
          <w:bCs/>
          <w:szCs w:val="28"/>
        </w:rPr>
        <w:t>信息填写</w:t>
      </w:r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登陆全国公共资源交易平台（四川省），选择【四川省电子招投标公共服务平台】入口进入，此时的单位信息状态为临时库，需要完善单位的基本信息才能进行业务操作。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17799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31254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ind w:firstLine="0" w:firstLineChars="0"/>
        <w:rPr>
          <w:rFonts w:ascii="宋体" w:hAnsi="宋体" w:cs="宋体"/>
          <w:szCs w:val="28"/>
        </w:rPr>
      </w:pPr>
      <w:bookmarkStart w:id="15" w:name="_GoBack"/>
      <w:r>
        <w:drawing>
          <wp:inline distT="0" distB="0" distL="114300" distR="114300">
            <wp:extent cx="5266690" cy="2630805"/>
            <wp:effectExtent l="0" t="0" r="6350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点击“修改信息”按钮之后页面如下：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114300" distR="114300">
            <wp:extent cx="5266690" cy="2553970"/>
            <wp:effectExtent l="0" t="0" r="6350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  <w:lang w:val="en-US" w:eastAsia="zh-CN"/>
        </w:rPr>
        <w:t>获取工商局数据或质监局数据；</w:t>
      </w:r>
      <w:r>
        <w:rPr>
          <w:rFonts w:hint="eastAsia" w:ascii="宋体" w:hAnsi="宋体" w:cs="宋体"/>
          <w:szCs w:val="28"/>
        </w:rPr>
        <w:t>填写页面</w:t>
      </w:r>
      <w:r>
        <w:rPr>
          <w:rFonts w:hint="eastAsia" w:ascii="宋体" w:hAnsi="宋体" w:cs="宋体"/>
          <w:szCs w:val="28"/>
          <w:lang w:val="en-US" w:eastAsia="zh-CN"/>
        </w:rPr>
        <w:t>其他打*号</w:t>
      </w:r>
      <w:r>
        <w:rPr>
          <w:rFonts w:hint="eastAsia" w:ascii="宋体" w:hAnsi="宋体" w:cs="宋体"/>
          <w:szCs w:val="28"/>
        </w:rPr>
        <w:t>信息。点击“修改保存”按钮，基本信息处于“编辑”中状态，可再次修改。</w:t>
      </w:r>
    </w:p>
    <w:p>
      <w:pPr>
        <w:spacing w:line="240" w:lineRule="auto"/>
        <w:ind w:firstLine="565" w:firstLineChars="202"/>
        <w:rPr>
          <w:rFonts w:ascii="宋体" w:hAnsi="宋体" w:cs="宋体"/>
          <w:color w:val="FF0000"/>
          <w:szCs w:val="28"/>
        </w:rPr>
      </w:pPr>
      <w:r>
        <w:rPr>
          <w:rFonts w:hint="eastAsia" w:ascii="宋体" w:hAnsi="宋体" w:cs="宋体"/>
          <w:color w:val="FF0000"/>
          <w:szCs w:val="28"/>
        </w:rPr>
        <w:t>注：</w:t>
      </w:r>
    </w:p>
    <w:p>
      <w:pPr>
        <w:pStyle w:val="20"/>
        <w:numPr>
          <w:ilvl w:val="2"/>
          <w:numId w:val="5"/>
        </w:numPr>
        <w:spacing w:line="240" w:lineRule="auto"/>
        <w:ind w:firstLineChars="0"/>
        <w:rPr>
          <w:rFonts w:ascii="宋体" w:hAnsi="宋体" w:cs="宋体"/>
          <w:color w:val="FF0000"/>
          <w:szCs w:val="28"/>
        </w:rPr>
      </w:pPr>
      <w:r>
        <w:rPr>
          <w:rFonts w:hint="eastAsia" w:ascii="宋体" w:hAnsi="宋体" w:cs="宋体"/>
          <w:color w:val="FF0000"/>
          <w:szCs w:val="28"/>
        </w:rPr>
        <w:t>带*号的为必填项；</w:t>
      </w:r>
    </w:p>
    <w:p>
      <w:pPr>
        <w:pStyle w:val="20"/>
        <w:numPr>
          <w:ilvl w:val="2"/>
          <w:numId w:val="5"/>
        </w:numPr>
        <w:spacing w:line="240" w:lineRule="auto"/>
        <w:ind w:firstLineChars="0"/>
        <w:rPr>
          <w:rFonts w:ascii="宋体" w:hAnsi="宋体" w:cs="宋体"/>
          <w:color w:val="FF0000"/>
          <w:szCs w:val="28"/>
        </w:rPr>
      </w:pPr>
      <w:r>
        <w:rPr>
          <w:rFonts w:ascii="宋体" w:hAnsi="宋体" w:cs="宋体"/>
          <w:color w:val="FF0000"/>
          <w:szCs w:val="28"/>
        </w:rPr>
        <w:t>相关附件</w:t>
      </w:r>
      <w:r>
        <w:rPr>
          <w:rFonts w:hint="eastAsia" w:ascii="宋体" w:hAnsi="宋体" w:cs="宋体"/>
          <w:color w:val="FF0000"/>
          <w:szCs w:val="28"/>
        </w:rPr>
        <w:t>，</w:t>
      </w:r>
      <w:r>
        <w:rPr>
          <w:rFonts w:ascii="宋体" w:hAnsi="宋体" w:cs="宋体"/>
          <w:color w:val="FF0000"/>
          <w:szCs w:val="28"/>
        </w:rPr>
        <w:t>点击电子件管理上传</w:t>
      </w:r>
    </w:p>
    <w:p>
      <w:pPr>
        <w:spacing w:line="240" w:lineRule="auto"/>
        <w:ind w:firstLine="562" w:firstLineChars="201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3、点击“下一步”按钮，进入基本信息查看页面。如下图：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192087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</w:p>
    <w:p>
      <w:pPr>
        <w:numPr>
          <w:ilvl w:val="0"/>
          <w:numId w:val="9"/>
        </w:numPr>
        <w:spacing w:line="240" w:lineRule="auto"/>
        <w:ind w:firstLine="56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点击“提交信息”按钮，基本信息提交审核。点击“修改”按钮返回步骤2。审核通过之后就可以挑选其他市州入口进行登录。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32029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ascii="宋体" w:hAnsi="宋体" w:cs="宋体"/>
          <w:szCs w:val="28"/>
        </w:rPr>
        <w:t>审核通过之后再次登录会显示其他市州入口</w:t>
      </w:r>
      <w:r>
        <w:rPr>
          <w:rFonts w:hint="eastAsia" w:ascii="宋体" w:hAnsi="宋体" w:cs="宋体"/>
          <w:szCs w:val="28"/>
        </w:rPr>
        <w:t>，点击相应入口自动跳转相应平台。（</w:t>
      </w:r>
      <w:r>
        <w:rPr>
          <w:rFonts w:hint="eastAsia" w:ascii="宋体" w:hAnsi="宋体" w:cs="宋体"/>
          <w:color w:val="FF0000"/>
          <w:szCs w:val="28"/>
        </w:rPr>
        <w:t>注：如果跳转异常请联系相关市州平台处理</w:t>
      </w:r>
      <w:r>
        <w:rPr>
          <w:rFonts w:hint="eastAsia" w:ascii="宋体" w:hAnsi="宋体" w:cs="宋体"/>
          <w:szCs w:val="28"/>
        </w:rPr>
        <w:t>）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15963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/>
        <w:keepLines/>
        <w:numPr>
          <w:ilvl w:val="1"/>
          <w:numId w:val="8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r>
        <w:rPr>
          <w:rFonts w:hint="eastAsia" w:ascii="宋体" w:hAnsi="宋体" w:cs="宋体"/>
          <w:b/>
          <w:bCs/>
          <w:szCs w:val="28"/>
        </w:rPr>
        <w:t>身份申请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 xml:space="preserve"> </w:t>
      </w:r>
      <w:r>
        <w:rPr>
          <w:rFonts w:ascii="宋体" w:hAnsi="宋体" w:cs="宋体"/>
          <w:szCs w:val="28"/>
        </w:rPr>
        <w:t xml:space="preserve"> 如果主体注册的时候少选了单位角色</w:t>
      </w:r>
      <w:r>
        <w:rPr>
          <w:rFonts w:hint="eastAsia" w:ascii="宋体" w:hAnsi="宋体" w:cs="宋体"/>
          <w:szCs w:val="28"/>
        </w:rPr>
        <w:t>，</w:t>
      </w:r>
      <w:r>
        <w:rPr>
          <w:rFonts w:ascii="宋体" w:hAnsi="宋体" w:cs="宋体"/>
          <w:szCs w:val="28"/>
        </w:rPr>
        <w:t>可以通过</w:t>
      </w:r>
      <w:r>
        <w:rPr>
          <w:rFonts w:hint="eastAsia" w:ascii="宋体" w:hAnsi="宋体" w:cs="宋体"/>
          <w:szCs w:val="28"/>
        </w:rPr>
        <w:t>“</w:t>
      </w:r>
      <w:r>
        <w:rPr>
          <w:rFonts w:ascii="宋体" w:hAnsi="宋体" w:cs="宋体"/>
          <w:szCs w:val="28"/>
        </w:rPr>
        <w:t>身份申请</w:t>
      </w:r>
      <w:r>
        <w:rPr>
          <w:rFonts w:hint="eastAsia" w:ascii="宋体" w:hAnsi="宋体" w:cs="宋体"/>
          <w:szCs w:val="28"/>
        </w:rPr>
        <w:t>”功能添加新单位角色（如图）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114300" distR="114300">
            <wp:extent cx="5266690" cy="2564765"/>
            <wp:effectExtent l="0" t="0" r="6350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ascii="宋体" w:hAnsi="宋体" w:cs="宋体"/>
          <w:szCs w:val="28"/>
        </w:rPr>
        <w:t>选中</w:t>
      </w:r>
      <w:r>
        <w:rPr>
          <w:rFonts w:hint="eastAsia" w:ascii="宋体" w:hAnsi="宋体" w:cs="宋体"/>
          <w:szCs w:val="28"/>
        </w:rPr>
        <w:t>“身份申请”菜单，</w:t>
      </w:r>
      <w:r>
        <w:rPr>
          <w:rFonts w:ascii="宋体" w:hAnsi="宋体" w:cs="宋体"/>
          <w:szCs w:val="28"/>
        </w:rPr>
        <w:t>点击</w:t>
      </w:r>
      <w:r>
        <w:rPr>
          <w:rFonts w:hint="eastAsia" w:ascii="宋体" w:hAnsi="宋体" w:cs="宋体"/>
          <w:szCs w:val="28"/>
        </w:rPr>
        <w:t>【新增申请】按钮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114300" distR="114300">
            <wp:extent cx="5266690" cy="2545715"/>
            <wp:effectExtent l="0" t="0" r="635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ascii="宋体" w:hAnsi="宋体" w:cs="宋体"/>
          <w:szCs w:val="28"/>
        </w:rPr>
        <w:t>勾选需要添加的身份</w:t>
      </w:r>
      <w:r>
        <w:rPr>
          <w:rFonts w:hint="eastAsia" w:ascii="宋体" w:hAnsi="宋体" w:cs="宋体"/>
          <w:szCs w:val="28"/>
        </w:rPr>
        <w:t>，</w:t>
      </w:r>
      <w:r>
        <w:rPr>
          <w:rFonts w:ascii="宋体" w:hAnsi="宋体" w:cs="宋体"/>
          <w:szCs w:val="28"/>
        </w:rPr>
        <w:t>提交审核通过之后即可完成身份申请</w:t>
      </w:r>
      <w:r>
        <w:rPr>
          <w:rFonts w:hint="eastAsia" w:ascii="宋体" w:hAnsi="宋体" w:cs="宋体"/>
          <w:szCs w:val="28"/>
        </w:rPr>
        <w:t>。</w:t>
      </w:r>
    </w:p>
    <w:bookmarkEnd w:id="15"/>
    <w:p>
      <w:pPr>
        <w:pStyle w:val="20"/>
        <w:keepNext/>
        <w:keepLines/>
        <w:numPr>
          <w:ilvl w:val="1"/>
          <w:numId w:val="8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b/>
          <w:bCs/>
          <w:szCs w:val="28"/>
        </w:rPr>
      </w:pPr>
      <w:r>
        <w:rPr>
          <w:rFonts w:ascii="宋体" w:hAnsi="宋体" w:cs="宋体"/>
          <w:b/>
          <w:bCs/>
          <w:szCs w:val="28"/>
        </w:rPr>
        <w:t>忘记密码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 xml:space="preserve">  </w:t>
      </w:r>
      <w:r>
        <w:rPr>
          <w:rFonts w:ascii="宋体" w:hAnsi="宋体" w:cs="宋体"/>
          <w:szCs w:val="28"/>
        </w:rPr>
        <w:t xml:space="preserve">  </w:t>
      </w:r>
      <w:r>
        <w:rPr>
          <w:rFonts w:hint="eastAsia" w:ascii="宋体" w:hAnsi="宋体" w:cs="宋体"/>
          <w:szCs w:val="28"/>
        </w:rPr>
        <w:t>账号密码不匹配会提示无法登陆（如下图所示），若忘记用户名及密码，请点击登录入口下面的【忘记密码】按钮。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400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ascii="宋体" w:hAnsi="宋体" w:cs="宋体"/>
          <w:szCs w:val="28"/>
        </w:rPr>
        <w:t>点击之后弹出找回密码申请页面</w:t>
      </w:r>
      <w:r>
        <w:rPr>
          <w:rFonts w:hint="eastAsia" w:ascii="宋体" w:hAnsi="宋体" w:cs="宋体"/>
          <w:szCs w:val="28"/>
        </w:rPr>
        <w:t>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2326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rPr>
          <w:rFonts w:ascii="宋体" w:hAnsi="宋体" w:cs="宋体"/>
          <w:szCs w:val="28"/>
        </w:rPr>
        <w:t>填写相关申请信息</w:t>
      </w:r>
      <w:r>
        <w:rPr>
          <w:rFonts w:hint="eastAsia" w:ascii="宋体" w:hAnsi="宋体" w:cs="宋体"/>
          <w:szCs w:val="28"/>
        </w:rPr>
        <w:t>，</w:t>
      </w:r>
      <w:r>
        <w:rPr>
          <w:rFonts w:ascii="宋体" w:hAnsi="宋体" w:cs="宋体"/>
          <w:szCs w:val="28"/>
        </w:rPr>
        <w:t>提交审核</w:t>
      </w:r>
      <w:r>
        <w:rPr>
          <w:rFonts w:hint="eastAsia" w:ascii="宋体" w:hAnsi="宋体" w:cs="宋体"/>
          <w:szCs w:val="28"/>
        </w:rPr>
        <w:t>，</w:t>
      </w:r>
      <w:r>
        <w:rPr>
          <w:rFonts w:ascii="宋体" w:hAnsi="宋体" w:cs="宋体"/>
          <w:szCs w:val="28"/>
        </w:rPr>
        <w:t>系统会在1</w:t>
      </w:r>
      <w:r>
        <w:rPr>
          <w:rFonts w:hint="eastAsia" w:ascii="宋体" w:hAnsi="宋体" w:cs="宋体"/>
          <w:szCs w:val="28"/>
        </w:rPr>
        <w:t>个工作日内审核通过，并短信告知重置后的账号密码。</w:t>
      </w:r>
    </w:p>
    <w:p>
      <w:pPr>
        <w:spacing w:line="240" w:lineRule="auto"/>
        <w:ind w:firstLine="0" w:firstLineChars="0"/>
        <w:rPr>
          <w:rFonts w:ascii="宋体" w:hAnsi="宋体" w:cs="宋体"/>
          <w:szCs w:val="28"/>
        </w:rPr>
      </w:pPr>
      <w:r>
        <w:drawing>
          <wp:inline distT="0" distB="0" distL="0" distR="0">
            <wp:extent cx="5274310" cy="20434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/>
        <w:keepLines/>
        <w:numPr>
          <w:ilvl w:val="1"/>
          <w:numId w:val="8"/>
        </w:numPr>
        <w:tabs>
          <w:tab w:val="left" w:pos="567"/>
        </w:tabs>
        <w:spacing w:line="240" w:lineRule="auto"/>
        <w:ind w:firstLineChars="0"/>
        <w:outlineLvl w:val="1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技术支持</w:t>
      </w:r>
    </w:p>
    <w:p>
      <w:pPr>
        <w:spacing w:line="240" w:lineRule="auto"/>
        <w:ind w:firstLineChars="0"/>
        <w:rPr>
          <w:rFonts w:ascii="宋体" w:hAnsi="宋体" w:cs="宋体"/>
          <w:szCs w:val="28"/>
        </w:rPr>
      </w:pPr>
      <w:r>
        <w:rPr>
          <w:rFonts w:ascii="宋体" w:hAnsi="宋体" w:cs="宋体"/>
          <w:szCs w:val="28"/>
        </w:rPr>
        <w:t>在全国公共资源交易平台</w:t>
      </w:r>
      <w:r>
        <w:rPr>
          <w:rFonts w:hint="eastAsia" w:ascii="宋体" w:hAnsi="宋体" w:cs="宋体"/>
          <w:szCs w:val="28"/>
        </w:rPr>
        <w:t>（四川省）统一注册及登录问题请拨打4</w:t>
      </w:r>
      <w:r>
        <w:rPr>
          <w:rFonts w:ascii="宋体" w:hAnsi="宋体" w:cs="宋体"/>
          <w:szCs w:val="28"/>
        </w:rPr>
        <w:t>009980000处理</w:t>
      </w:r>
      <w:r>
        <w:rPr>
          <w:rFonts w:hint="eastAsia" w:ascii="宋体" w:hAnsi="宋体" w:cs="宋体"/>
          <w:szCs w:val="28"/>
        </w:rPr>
        <w:t>！</w:t>
      </w:r>
    </w:p>
    <w:p>
      <w:pPr>
        <w:spacing w:line="240" w:lineRule="auto"/>
        <w:ind w:firstLineChars="0"/>
        <w:rPr>
          <w:rFonts w:ascii="宋体" w:hAnsi="宋体" w:cs="宋体"/>
          <w:szCs w:val="28"/>
        </w:rPr>
      </w:pPr>
      <w:r>
        <w:rPr>
          <w:rFonts w:ascii="宋体" w:hAnsi="宋体" w:cs="宋体"/>
          <w:szCs w:val="28"/>
        </w:rPr>
        <w:t>跳转市州平台问题请联系相应市州平台处理</w:t>
      </w:r>
      <w:r>
        <w:rPr>
          <w:rFonts w:hint="eastAsia" w:ascii="宋体" w:hAnsi="宋体" w:cs="宋体"/>
          <w:szCs w:val="28"/>
        </w:rPr>
        <w:t>！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  <w:ind w:firstLine="560"/>
      </w:pPr>
      <w:r>
        <w:separator/>
      </w:r>
    </w:p>
  </w:footnote>
  <w:footnote w:type="continuationSeparator" w:id="1">
    <w:p>
      <w:pPr>
        <w:spacing w:line="288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391E31"/>
    <w:multiLevelType w:val="singleLevel"/>
    <w:tmpl w:val="97391E3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F20141F5"/>
    <w:multiLevelType w:val="multilevel"/>
    <w:tmpl w:val="F20141F5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419" w:hanging="851"/>
      </w:pPr>
      <w:rPr>
        <w:rFonts w:hint="eastAsia" w:ascii="宋体" w:hAnsi="宋体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1C495CCC"/>
    <w:multiLevelType w:val="multilevel"/>
    <w:tmpl w:val="1C495CCC"/>
    <w:lvl w:ilvl="0" w:tentative="0">
      <w:start w:val="1"/>
      <w:numFmt w:val="decimal"/>
      <w:lvlText w:val="%1"/>
      <w:lvlJc w:val="left"/>
      <w:pPr>
        <w:ind w:left="750" w:hanging="75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821" w:hanging="750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left="892" w:hanging="75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293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724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15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2586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65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3088" w:hanging="2520"/>
      </w:pPr>
      <w:rPr>
        <w:rFonts w:hint="default"/>
      </w:rPr>
    </w:lvl>
  </w:abstractNum>
  <w:abstractNum w:abstractNumId="3">
    <w:nsid w:val="1D61443B"/>
    <w:multiLevelType w:val="multilevel"/>
    <w:tmpl w:val="1D61443B"/>
    <w:lvl w:ilvl="0" w:tentative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24AC0785"/>
    <w:multiLevelType w:val="multilevel"/>
    <w:tmpl w:val="24AC0785"/>
    <w:lvl w:ilvl="0" w:tentative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3D82723E"/>
    <w:multiLevelType w:val="multilevel"/>
    <w:tmpl w:val="3D82723E"/>
    <w:lvl w:ilvl="0" w:tentative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4CCE3D35"/>
    <w:multiLevelType w:val="multilevel"/>
    <w:tmpl w:val="4CCE3D3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FF40F5D"/>
    <w:multiLevelType w:val="multilevel"/>
    <w:tmpl w:val="4FF40F5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zZjNjZDQ3OWM4OGMwMGVlZGZhZGE3M2EyMWNkZGQifQ=="/>
  </w:docVars>
  <w:rsids>
    <w:rsidRoot w:val="009F4C42"/>
    <w:rsid w:val="002224B3"/>
    <w:rsid w:val="0024697A"/>
    <w:rsid w:val="002619D3"/>
    <w:rsid w:val="002C463D"/>
    <w:rsid w:val="003307E5"/>
    <w:rsid w:val="003E1009"/>
    <w:rsid w:val="00447C9D"/>
    <w:rsid w:val="004642A2"/>
    <w:rsid w:val="004A4DD5"/>
    <w:rsid w:val="005172C2"/>
    <w:rsid w:val="00540A9D"/>
    <w:rsid w:val="005F4D85"/>
    <w:rsid w:val="006A2C24"/>
    <w:rsid w:val="006C649C"/>
    <w:rsid w:val="0070449D"/>
    <w:rsid w:val="007E5CF6"/>
    <w:rsid w:val="00896EAC"/>
    <w:rsid w:val="009A03E8"/>
    <w:rsid w:val="009F24BD"/>
    <w:rsid w:val="009F4C42"/>
    <w:rsid w:val="00A06F94"/>
    <w:rsid w:val="00A60C3A"/>
    <w:rsid w:val="00A62712"/>
    <w:rsid w:val="00A76095"/>
    <w:rsid w:val="00AC274D"/>
    <w:rsid w:val="00AC2D09"/>
    <w:rsid w:val="00B069B0"/>
    <w:rsid w:val="00B55112"/>
    <w:rsid w:val="00B9461D"/>
    <w:rsid w:val="00BE6EFB"/>
    <w:rsid w:val="00C44E95"/>
    <w:rsid w:val="00C87B8C"/>
    <w:rsid w:val="00CD73B0"/>
    <w:rsid w:val="00D20339"/>
    <w:rsid w:val="00D84E88"/>
    <w:rsid w:val="00DC3559"/>
    <w:rsid w:val="00DF14E6"/>
    <w:rsid w:val="00E06531"/>
    <w:rsid w:val="00E51CA9"/>
    <w:rsid w:val="00EC592E"/>
    <w:rsid w:val="00F14F35"/>
    <w:rsid w:val="00F9083E"/>
    <w:rsid w:val="00F92641"/>
    <w:rsid w:val="00FA4BB9"/>
    <w:rsid w:val="00FC7346"/>
    <w:rsid w:val="02865C67"/>
    <w:rsid w:val="02917E2B"/>
    <w:rsid w:val="02DE789E"/>
    <w:rsid w:val="04250AB9"/>
    <w:rsid w:val="0631297B"/>
    <w:rsid w:val="06BD3722"/>
    <w:rsid w:val="08F67C69"/>
    <w:rsid w:val="0C8E4F98"/>
    <w:rsid w:val="0F587C85"/>
    <w:rsid w:val="0FB6463B"/>
    <w:rsid w:val="0FFB1B81"/>
    <w:rsid w:val="10887BD6"/>
    <w:rsid w:val="117F6D29"/>
    <w:rsid w:val="129A3962"/>
    <w:rsid w:val="137621FB"/>
    <w:rsid w:val="13965B04"/>
    <w:rsid w:val="15B042D8"/>
    <w:rsid w:val="16631115"/>
    <w:rsid w:val="17D20002"/>
    <w:rsid w:val="19DC2864"/>
    <w:rsid w:val="1AB306F9"/>
    <w:rsid w:val="1D50060A"/>
    <w:rsid w:val="20092139"/>
    <w:rsid w:val="204D0DA4"/>
    <w:rsid w:val="209528F2"/>
    <w:rsid w:val="20FB2231"/>
    <w:rsid w:val="21DE5A85"/>
    <w:rsid w:val="22B671FC"/>
    <w:rsid w:val="24D870F8"/>
    <w:rsid w:val="27342B5B"/>
    <w:rsid w:val="2752226A"/>
    <w:rsid w:val="27D40F60"/>
    <w:rsid w:val="293E6748"/>
    <w:rsid w:val="2A470DE9"/>
    <w:rsid w:val="2BB82F55"/>
    <w:rsid w:val="2C46287B"/>
    <w:rsid w:val="2ECA158A"/>
    <w:rsid w:val="2ED1053B"/>
    <w:rsid w:val="2ED751EB"/>
    <w:rsid w:val="2FBD46D6"/>
    <w:rsid w:val="30A76BB7"/>
    <w:rsid w:val="321B1EC6"/>
    <w:rsid w:val="32C1442C"/>
    <w:rsid w:val="344E6B91"/>
    <w:rsid w:val="34727AE0"/>
    <w:rsid w:val="34D00D89"/>
    <w:rsid w:val="35360772"/>
    <w:rsid w:val="354774EC"/>
    <w:rsid w:val="359A4FD2"/>
    <w:rsid w:val="36007E4F"/>
    <w:rsid w:val="36435EB5"/>
    <w:rsid w:val="36AA67F6"/>
    <w:rsid w:val="37E26D69"/>
    <w:rsid w:val="38ED72F1"/>
    <w:rsid w:val="39D42D58"/>
    <w:rsid w:val="3A9E2452"/>
    <w:rsid w:val="3E553017"/>
    <w:rsid w:val="3F824EB8"/>
    <w:rsid w:val="3FE526EB"/>
    <w:rsid w:val="40982C90"/>
    <w:rsid w:val="430355A2"/>
    <w:rsid w:val="48461E01"/>
    <w:rsid w:val="48502E1F"/>
    <w:rsid w:val="49EA5685"/>
    <w:rsid w:val="4B6F0E0F"/>
    <w:rsid w:val="4CC95D3E"/>
    <w:rsid w:val="4DB12998"/>
    <w:rsid w:val="4E135F3F"/>
    <w:rsid w:val="4F282564"/>
    <w:rsid w:val="4F7B165A"/>
    <w:rsid w:val="50B00DB6"/>
    <w:rsid w:val="529F4245"/>
    <w:rsid w:val="53905DCE"/>
    <w:rsid w:val="541F1646"/>
    <w:rsid w:val="54712BD9"/>
    <w:rsid w:val="558C3F02"/>
    <w:rsid w:val="55A502A8"/>
    <w:rsid w:val="570D7ED7"/>
    <w:rsid w:val="5737507B"/>
    <w:rsid w:val="58844FF5"/>
    <w:rsid w:val="58DF4B11"/>
    <w:rsid w:val="59D95E87"/>
    <w:rsid w:val="5A2168D1"/>
    <w:rsid w:val="5B345346"/>
    <w:rsid w:val="5B410DBB"/>
    <w:rsid w:val="5D0B149C"/>
    <w:rsid w:val="5FAC237B"/>
    <w:rsid w:val="62871CC3"/>
    <w:rsid w:val="66D63F8F"/>
    <w:rsid w:val="66E46A91"/>
    <w:rsid w:val="6A334DAE"/>
    <w:rsid w:val="6C99735F"/>
    <w:rsid w:val="6DB830F7"/>
    <w:rsid w:val="71512B3C"/>
    <w:rsid w:val="747E3D1B"/>
    <w:rsid w:val="75C50C93"/>
    <w:rsid w:val="7979768F"/>
    <w:rsid w:val="7C412D2A"/>
    <w:rsid w:val="7CF66B79"/>
    <w:rsid w:val="7D797CCC"/>
    <w:rsid w:val="7DB7593F"/>
    <w:rsid w:val="7DB90A0E"/>
    <w:rsid w:val="7DF500DF"/>
    <w:rsid w:val="7E6461EB"/>
    <w:rsid w:val="7E7E6290"/>
    <w:rsid w:val="7E90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ind w:firstLine="602" w:firstLineChars="200"/>
      <w:jc w:val="both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numPr>
        <w:ilvl w:val="0"/>
        <w:numId w:val="1"/>
      </w:numPr>
      <w:spacing w:before="20" w:line="324" w:lineRule="auto"/>
      <w:ind w:firstLine="0" w:firstLineChars="0"/>
      <w:outlineLvl w:val="0"/>
    </w:pPr>
    <w:rPr>
      <w:rFonts w:ascii="Times New Roman" w:hAnsi="Times New Roman"/>
      <w:b/>
      <w:bCs/>
      <w:kern w:val="44"/>
      <w:sz w:val="30"/>
      <w:szCs w:val="28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numPr>
        <w:ilvl w:val="1"/>
        <w:numId w:val="1"/>
      </w:numPr>
      <w:ind w:firstLine="0" w:firstLineChars="0"/>
      <w:outlineLvl w:val="1"/>
    </w:pPr>
    <w:rPr>
      <w:rFonts w:ascii="Times New Roman" w:hAnsi="Times New Roman" w:cs="Times New Roman"/>
      <w:b/>
      <w:bCs/>
      <w:szCs w:val="32"/>
    </w:rPr>
  </w:style>
  <w:style w:type="paragraph" w:styleId="4">
    <w:name w:val="heading 3"/>
    <w:basedOn w:val="1"/>
    <w:next w:val="1"/>
    <w:link w:val="15"/>
    <w:semiHidden/>
    <w:unhideWhenUsed/>
    <w:qFormat/>
    <w:uiPriority w:val="0"/>
    <w:pPr>
      <w:keepNext/>
      <w:keepLines/>
      <w:numPr>
        <w:ilvl w:val="2"/>
        <w:numId w:val="1"/>
      </w:numPr>
      <w:spacing w:line="264" w:lineRule="auto"/>
      <w:ind w:firstLine="0" w:firstLineChars="0"/>
      <w:outlineLvl w:val="2"/>
    </w:pPr>
    <w:rPr>
      <w:rFonts w:ascii="Times New Roman" w:hAnsi="Times New Roman"/>
      <w:b/>
      <w:bCs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0" w:after="20" w:line="276" w:lineRule="auto"/>
      <w:ind w:firstLine="0" w:firstLineChars="0"/>
      <w:outlineLvl w:val="3"/>
    </w:pPr>
    <w:rPr>
      <w:rFonts w:ascii="Arial" w:hAnsi="Arial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ate"/>
    <w:basedOn w:val="1"/>
    <w:next w:val="1"/>
    <w:link w:val="19"/>
    <w:uiPriority w:val="0"/>
    <w:pPr>
      <w:ind w:left="100" w:leftChars="2500"/>
    </w:pPr>
  </w:style>
  <w:style w:type="paragraph" w:styleId="9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customStyle="1" w:styleId="15">
    <w:name w:val="标题 3 Char"/>
    <w:link w:val="4"/>
    <w:qFormat/>
    <w:uiPriority w:val="9"/>
    <w:rPr>
      <w:rFonts w:ascii="Times New Roman" w:hAnsi="Times New Roman" w:eastAsia="宋体"/>
      <w:b/>
      <w:bCs/>
      <w:kern w:val="2"/>
      <w:sz w:val="28"/>
      <w:szCs w:val="24"/>
    </w:rPr>
  </w:style>
  <w:style w:type="character" w:customStyle="1" w:styleId="16">
    <w:name w:val="标题 2 Char"/>
    <w:link w:val="3"/>
    <w:qFormat/>
    <w:uiPriority w:val="9"/>
    <w:rPr>
      <w:rFonts w:ascii="Times New Roman" w:hAnsi="Times New Roman" w:eastAsia="宋体" w:cs="Times New Roman"/>
      <w:b/>
      <w:bCs/>
      <w:kern w:val="2"/>
      <w:sz w:val="28"/>
      <w:szCs w:val="32"/>
    </w:rPr>
  </w:style>
  <w:style w:type="character" w:customStyle="1" w:styleId="17">
    <w:name w:val="标题 1 Char"/>
    <w:link w:val="2"/>
    <w:qFormat/>
    <w:uiPriority w:val="9"/>
    <w:rPr>
      <w:rFonts w:ascii="Times New Roman" w:hAnsi="Times New Roman" w:eastAsia="宋体"/>
      <w:b/>
      <w:bCs/>
      <w:kern w:val="44"/>
      <w:sz w:val="30"/>
      <w:szCs w:val="28"/>
    </w:rPr>
  </w:style>
  <w:style w:type="character" w:customStyle="1" w:styleId="18">
    <w:name w:val="批注框文本 Char"/>
    <w:basedOn w:val="13"/>
    <w:link w:val="9"/>
    <w:uiPriority w:val="0"/>
    <w:rPr>
      <w:rFonts w:eastAsia="宋体"/>
      <w:kern w:val="2"/>
      <w:sz w:val="18"/>
      <w:szCs w:val="18"/>
    </w:rPr>
  </w:style>
  <w:style w:type="character" w:customStyle="1" w:styleId="19">
    <w:name w:val="日期 Char"/>
    <w:basedOn w:val="13"/>
    <w:link w:val="8"/>
    <w:uiPriority w:val="0"/>
    <w:rPr>
      <w:rFonts w:eastAsia="宋体"/>
      <w:kern w:val="2"/>
      <w:sz w:val="28"/>
      <w:szCs w:val="24"/>
    </w:rPr>
  </w:style>
  <w:style w:type="paragraph" w:styleId="20">
    <w:name w:val="List Paragraph"/>
    <w:basedOn w:val="1"/>
    <w:unhideWhenUsed/>
    <w:uiPriority w:val="99"/>
    <w:pPr>
      <w:ind w:firstLine="420"/>
    </w:pPr>
  </w:style>
  <w:style w:type="character" w:customStyle="1" w:styleId="21">
    <w:name w:val="页眉 Char"/>
    <w:basedOn w:val="13"/>
    <w:link w:val="11"/>
    <w:qFormat/>
    <w:uiPriority w:val="0"/>
    <w:rPr>
      <w:rFonts w:eastAsia="宋体"/>
      <w:kern w:val="2"/>
      <w:sz w:val="18"/>
      <w:szCs w:val="18"/>
    </w:rPr>
  </w:style>
  <w:style w:type="character" w:customStyle="1" w:styleId="22">
    <w:name w:val="页脚 Char"/>
    <w:basedOn w:val="13"/>
    <w:link w:val="10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F39CB-F4AB-47C2-9855-EC374D9546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1759</Words>
  <Characters>2127</Characters>
  <Lines>17</Lines>
  <Paragraphs>4</Paragraphs>
  <TotalTime>225</TotalTime>
  <ScaleCrop>false</ScaleCrop>
  <LinksUpToDate>false</LinksUpToDate>
  <CharactersWithSpaces>2142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2021-06-03T06:45:00Z</dcterms:created>
  <dc:creator>Administrator</dc:creator>
  <cp:lastModifiedBy>小袁同学</cp:lastModifiedBy>
  <dcterms:modified xsi:type="dcterms:W3CDTF">2023-05-08T08:53:59Z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0505EB0EEC3140298D4647E711A013E4_12</vt:lpwstr>
  </property>
</Properties>
</file>